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eastAsia" w:ascii="宋体" w:hAnsi="宋体"/>
          <w:b/>
          <w:sz w:val="44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清产核资服务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报价单</w:t>
      </w:r>
    </w:p>
    <w:p>
      <w:pPr>
        <w:spacing w:line="5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报价清单：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spacing w:line="560" w:lineRule="exact"/>
        <w:ind w:firstLine="6080" w:firstLineChars="19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480"/>
        <w:gridCol w:w="382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8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382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9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甘肃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云数字媒体版权保护中心有限责任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清产核资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82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hAnsi="宋体" w:eastAsia="仿宋_GB2312"/>
          <w:sz w:val="32"/>
          <w:szCs w:val="32"/>
        </w:rPr>
        <w:t>将按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照</w:t>
      </w:r>
      <w:r>
        <w:rPr>
          <w:rFonts w:hint="eastAsia" w:ascii="仿宋_GB2312" w:hAnsi="宋体" w:eastAsia="仿宋_GB2312"/>
          <w:sz w:val="32"/>
          <w:szCs w:val="32"/>
        </w:rPr>
        <w:t>本次询价文件的规定及要求履行合同责任和义务。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hAnsi="宋体" w:eastAsia="仿宋_GB2312"/>
          <w:sz w:val="32"/>
          <w:szCs w:val="32"/>
        </w:rPr>
        <w:t>完全同意提供按照贵方可能要求的与其报价有关的一切数据或资料。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4.本报价单包括以下附件：营业执照、资质证书、人员资质证书，并随报价单一并提交。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/>
          <w:spacing w:val="2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报价单位（签章）：                   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法定代表人或其授权代表签字：                   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日期：     年   月   日  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资产评估服务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报价单</w:t>
      </w:r>
    </w:p>
    <w:p>
      <w:pPr>
        <w:spacing w:line="5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报价清单：</w:t>
      </w:r>
    </w:p>
    <w:p>
      <w:pPr>
        <w:numPr>
          <w:ilvl w:val="0"/>
          <w:numId w:val="0"/>
        </w:numPr>
        <w:spacing w:line="560" w:lineRule="exact"/>
        <w:ind w:firstLine="6080" w:firstLineChars="19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480"/>
        <w:gridCol w:w="382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8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382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9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甘肃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云数字媒体版权保护中心有限责任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资产评估项目</w:t>
            </w:r>
          </w:p>
        </w:tc>
        <w:tc>
          <w:tcPr>
            <w:tcW w:w="382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hAnsi="宋体" w:eastAsia="仿宋_GB2312"/>
          <w:sz w:val="32"/>
          <w:szCs w:val="32"/>
        </w:rPr>
        <w:t>将按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照</w:t>
      </w:r>
      <w:r>
        <w:rPr>
          <w:rFonts w:hint="eastAsia" w:ascii="仿宋_GB2312" w:hAnsi="宋体" w:eastAsia="仿宋_GB2312"/>
          <w:sz w:val="32"/>
          <w:szCs w:val="32"/>
        </w:rPr>
        <w:t>本次询价文件的规定及要求履行合同责任和义务。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hAnsi="宋体" w:eastAsia="仿宋_GB2312"/>
          <w:sz w:val="32"/>
          <w:szCs w:val="32"/>
        </w:rPr>
        <w:t>完全同意提供按照贵方可能要求的与其报价有关的一切数据或资料。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4.本报价单包括以下附件：营业执照、资质证书、人员资质证书，并随报价单一并提交。</w:t>
      </w:r>
    </w:p>
    <w:p>
      <w:pPr>
        <w:spacing w:line="560" w:lineRule="exact"/>
        <w:rPr>
          <w:rFonts w:hint="eastAsia"/>
          <w:spacing w:val="20"/>
          <w:sz w:val="32"/>
          <w:szCs w:val="32"/>
        </w:rPr>
      </w:pPr>
    </w:p>
    <w:p>
      <w:pPr>
        <w:spacing w:line="560" w:lineRule="exact"/>
        <w:rPr>
          <w:rFonts w:hint="eastAsia"/>
          <w:spacing w:val="2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报价单位（签章）：                   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法定代表人或其授权代表签字：                  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日期：     年   月   日  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588" w:bottom="1985" w:left="1588" w:header="737" w:footer="73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TAzZGQwNWYyY2RhNThjNDkyMDdjM2MwNjMxMzUifQ=="/>
  </w:docVars>
  <w:rsids>
    <w:rsidRoot w:val="00000000"/>
    <w:rsid w:val="204F05D2"/>
    <w:rsid w:val="7DF4C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2023-03-03T16:05:00Z</dcterms:created>
  <dc:creator>lenovo</dc:creator>
  <cp:lastModifiedBy>ww11</cp:lastModifiedBy>
  <dcterms:modified xsi:type="dcterms:W3CDTF">2023-03-03T16:59:21Z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240D65CF6F774E3AB71A5A48C2F9B99C</vt:lpwstr>
  </property>
</Properties>
</file>